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Amharic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Nyala" w:eastAsia="Nyala" w:hAnsi="Nyala" w:cs="Nyala"/>
          <w:b/>
          <w:bCs/>
          <w:sz w:val="28"/>
          <w:szCs w:val="28"/>
          <w:cs/>
          <w:lang w:val="am-ET" w:bidi="am-ET"/>
        </w:rPr>
        <w:t>አማርኛ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Nyala" w:eastAsia="Nyala" w:hAnsi="Nyala" w:cs="Nyala"/>
          <w:sz w:val="28"/>
          <w:szCs w:val="28"/>
          <w:cs/>
          <w:lang w:val="am-ET" w:bidi="am-ET"/>
        </w:rPr>
        <w:t>ማሳሰቢያ፦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አማርኛ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የሚናገሩ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ከሆነ፣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የቋንቋ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ድጋፍ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አገልግሎት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በነፃ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ይቀርብልዎታል።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መረጃን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በተደራሽ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ቅርጸት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ለማቅረብ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ተገቢ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የሆኑ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ተጨማሪ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እገዛዎች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እና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አገልግሎቶች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እንዲሁ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በነፃ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ይገኛሉ።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በስልክ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ቁጥር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1-xxx-xxx-xxxx (TTY: 1-xxx-xxx-xxxx)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ይደውሉ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ወይም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አገልግሎት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አቅራቢዎን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 xml:space="preserve"> </w:t>
      </w:r>
      <w:r>
        <w:rPr>
          <w:rFonts w:ascii="Nyala" w:eastAsia="Nyala" w:hAnsi="Nyala" w:cs="Nyala"/>
          <w:sz w:val="28"/>
          <w:szCs w:val="28"/>
          <w:cs/>
          <w:lang w:val="am-ET" w:bidi="am-ET"/>
        </w:rPr>
        <w:t>ያናግሩ።</w:t>
      </w:r>
      <w:r>
        <w:rPr>
          <w:rFonts w:ascii="Calibri Light" w:eastAsia="Calibri Light" w:hAnsi="Calibri Light" w:cs="Calibri Light"/>
          <w:sz w:val="28"/>
          <w:szCs w:val="28"/>
          <w:lang w:val="am-ET"/>
        </w:rPr>
        <w:t>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yala">
    <w:altName w:val="Times New Roman"/>
    <w:panose1 w:val="00000000000000000000"/>
    <w:charset w:val="00"/>
    <w:family w:val="roman"/>
    <w:notTrueType/>
    <w:pitch w:val="default"/>
  </w:font>
  <w:font w:name="Angsana New">
    <w:altName w:val="Leelawadee UI"/>
    <w:panose1 w:val="02020603050405020304"/>
    <w:charset w:val="DE"/>
    <w:family w:val="roman"/>
    <w:pitch w:val="variable"/>
    <w:sig w:usb0="01000000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2024-04-10T19:25:00Z</dcterms:modified>
</cp:coreProperties>
</file>